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[CONTRACTOR LETTERHEAD]</w:t>
      </w:r>
    </w:p>
    <w:p>
      <w:pPr>
        <w:spacing w:after="20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[Date]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2B2B3A"/>
          <w:sz w:val="21"/>
          <w:szCs w:val="21"/>
        </w:rPr>
        <w:t xml:space="preserve">VIA [email / contract portal / certified mail]</w:t>
      </w:r>
    </w:p>
    <w:p>
      <w:pPr>
        <w:spacing w:after="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[Name]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, Contracting Officer</w:t>
      </w:r>
    </w:p>
    <w:p>
      <w:pPr>
        <w:spacing w:after="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[Agency / Contracting Office]</w:t>
      </w:r>
    </w:p>
    <w:p>
      <w:pPr>
        <w:spacing w:after="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[Street address]</w:t>
      </w:r>
    </w:p>
    <w:p>
      <w:pPr>
        <w:spacing w:after="22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[City, State ZIP]</w:t>
      </w:r>
    </w:p>
    <w:p>
      <w:pPr>
        <w:spacing w:after="40" w:line="276"/>
      </w:pPr>
      <w:r>
        <w:rPr>
          <w:rFonts w:ascii="Calibri" w:cs="Calibri" w:eastAsia="Calibri" w:hAnsi="Calibri"/>
          <w:b/>
          <w:bCs/>
          <w:color w:val="2B2B3A"/>
          <w:sz w:val="21"/>
          <w:szCs w:val="21"/>
        </w:rPr>
        <w:t xml:space="preserve">Subject:  Request for Equitable Adjustment No.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[REA-00X]</w:t>
      </w:r>
      <w:r>
        <w:rPr>
          <w:rFonts w:ascii="Calibri" w:cs="Calibri" w:eastAsia="Calibri" w:hAnsi="Calibri"/>
          <w:b/>
          <w:bCs/>
          <w:color w:val="2B2B3A"/>
          <w:sz w:val="21"/>
          <w:szCs w:val="21"/>
        </w:rPr>
        <w:t xml:space="preserve">: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[Short title of event]</w:t>
      </w:r>
    </w:p>
    <w:p>
      <w:pPr>
        <w:spacing w:after="4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Contract No.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[Number]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; Task Order / Modification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[Number, if any]</w:t>
      </w:r>
    </w:p>
    <w:p>
      <w:pPr>
        <w:spacing w:after="4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Project: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[Project title and location]</w:t>
      </w:r>
    </w:p>
    <w:p>
      <w:pPr>
        <w:spacing w:after="22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References: (a)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[Notice letter ref. and 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; (b)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[RFI / direction / change order ref. and 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; (c)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[other key correspondence]</w:t>
      </w:r>
    </w:p>
    <w:p>
      <w:pPr>
        <w:spacing w:after="14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Dear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[Mr./Ms. Last name]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:</w:t>
      </w:r>
    </w:p>
    <w:p>
      <w:pPr>
        <w:spacing w:after="14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[Contractor legal name]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(“the Contractor”) submits this Request for Equitable Adjustment (REA) for an adjustment to the contract price and time arising from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[one-sentence description of the event]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. The Contractor requests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[X]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</w:t>
      </w:r>
      <w:r>
        <w:rPr>
          <w:rFonts w:ascii="Calibri" w:cs="Calibri" w:eastAsia="Calibri" w:hAnsi="Calibri"/>
          <w:b/>
          <w:bCs/>
          <w:color w:val="2B2B3A"/>
          <w:sz w:val="21"/>
          <w:szCs w:val="21"/>
        </w:rPr>
        <w:t xml:space="preserve">calendar days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of time extension and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[$ total]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in price adjustment, as summarised below and supported in the enclosed documentation.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1D0E51"/>
          <w:sz w:val="21"/>
          <w:szCs w:val="21"/>
        </w:rPr>
        <w:t xml:space="preserve">1.  Background</w:t>
      </w:r>
    </w:p>
    <w:p>
      <w:pPr>
        <w:spacing w:after="14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[Two to four sentences: what happened, when it started, who directed or caused it, and which work was affected. Cite the references above.]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1D0E51"/>
          <w:sz w:val="21"/>
          <w:szCs w:val="21"/>
        </w:rPr>
        <w:t xml:space="preserve">2.  Contractual Basis</w:t>
      </w:r>
    </w:p>
    <w:p>
      <w:pPr>
        <w:spacing w:after="14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The Contractor is entitled to an equitable adjustment under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[clause(s), e.g. FAR 52.243-4 Changes; FAR 52.236-2 Differing Site Conditions; FAR 52.242-14 Suspension of Work]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because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[one-sentence entitlement statement]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. Written notice was provided on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by reference (a), within the period required by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[clause]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1D0E51"/>
          <w:sz w:val="21"/>
          <w:szCs w:val="21"/>
        </w:rPr>
        <w:t xml:space="preserve">3.  Time Impact</w:t>
      </w:r>
    </w:p>
    <w:p>
      <w:pPr>
        <w:spacing w:after="14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A Time Impact Analysis (Enclosure 2) was performed using accepted schedule update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[No. / data 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, the last accepted update before the event. The unimpacted schedule forecasts completion on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; with the event fragnet inserted, forecast completion is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. The difference of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[X]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</w:t>
      </w:r>
      <w:r>
        <w:rPr>
          <w:rFonts w:ascii="Calibri" w:cs="Calibri" w:eastAsia="Calibri" w:hAnsi="Calibri"/>
          <w:b/>
          <w:bCs/>
          <w:color w:val="2B2B3A"/>
          <w:sz w:val="21"/>
          <w:szCs w:val="21"/>
        </w:rPr>
        <w:t xml:space="preserve">calendar days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is the delay attributable to this event. The Contractor requests that the contract completion date be revised from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[current 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to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[revised 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1D0E51"/>
          <w:sz w:val="21"/>
          <w:szCs w:val="21"/>
        </w:rPr>
        <w:t xml:space="preserve">4.  Price Adjustment</w:t>
      </w:r>
    </w:p>
    <w:p>
      <w:pPr>
        <w:spacing w:after="10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The requested adjustment is summarised below and detailed in Enclosure 3: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3"/>
        <w:gridCol w:w="3557"/>
      </w:tblGrid>
      <w:tr>
        <w:tc>
          <w:tcPr>
            <w:tcW w:type="dxa" w:w="580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B2B3A"/>
                <w:sz w:val="19"/>
                <w:szCs w:val="19"/>
              </w:rPr>
              <w:t xml:space="preserve">Direct costs of the changed work (labour, material, equipment, subcontract)</w:t>
            </w:r>
          </w:p>
        </w:tc>
        <w:tc>
          <w:tcPr>
            <w:tcW w:type="dxa" w:w="35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7A5412"/>
                <w:sz w:val="19"/>
                <w:szCs w:val="19"/>
                <w:shd w:fill="FBEFD3" w:color="auto" w:val="clear"/>
              </w:rPr>
              <w:t xml:space="preserve">[$ amount]</w:t>
            </w:r>
          </w:p>
        </w:tc>
      </w:tr>
      <w:tr>
        <w:tc>
          <w:tcPr>
            <w:tcW w:type="dxa" w:w="580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B2B3A"/>
                <w:sz w:val="19"/>
                <w:szCs w:val="19"/>
              </w:rPr>
              <w:t xml:space="preserve">Time-related field costs for </w:t>
            </w:r>
            <w:r>
              <w:rPr>
                <w:rFonts w:ascii="Calibri" w:cs="Calibri" w:eastAsia="Calibri" w:hAnsi="Calibri"/>
                <w:color w:val="7A5412"/>
                <w:sz w:val="19"/>
                <w:szCs w:val="19"/>
                <w:shd w:fill="FBEFD3" w:color="auto" w:val="clear"/>
              </w:rPr>
              <w:t xml:space="preserve">[X]</w:t>
            </w:r>
            <w:r>
              <w:rPr>
                <w:rFonts w:ascii="Calibri" w:cs="Calibri" w:eastAsia="Calibri" w:hAnsi="Calibri"/>
                <w:color w:val="2B2B3A"/>
                <w:sz w:val="19"/>
                <w:szCs w:val="19"/>
              </w:rPr>
              <w:t xml:space="preserve"> calendar days of extended performance</w:t>
            </w:r>
          </w:p>
        </w:tc>
        <w:tc>
          <w:tcPr>
            <w:tcW w:type="dxa" w:w="35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7A5412"/>
                <w:sz w:val="19"/>
                <w:szCs w:val="19"/>
                <w:shd w:fill="FBEFD3" w:color="auto" w:val="clear"/>
              </w:rPr>
              <w:t xml:space="preserve">[$ amount]</w:t>
            </w:r>
          </w:p>
        </w:tc>
      </w:tr>
      <w:tr>
        <w:tc>
          <w:tcPr>
            <w:tcW w:type="dxa" w:w="580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B2B3A"/>
                <w:sz w:val="19"/>
                <w:szCs w:val="19"/>
              </w:rPr>
              <w:t xml:space="preserve">Home-office overhead (method: </w:t>
            </w:r>
            <w:r>
              <w:rPr>
                <w:rFonts w:ascii="Calibri" w:cs="Calibri" w:eastAsia="Calibri" w:hAnsi="Calibri"/>
                <w:color w:val="7A5412"/>
                <w:sz w:val="19"/>
                <w:szCs w:val="19"/>
                <w:shd w:fill="FBEFD3" w:color="auto" w:val="clear"/>
              </w:rPr>
              <w:t xml:space="preserve">[e.g. Eichleay / percentage markup]</w:t>
            </w:r>
            <w:r>
              <w:rPr>
                <w:rFonts w:ascii="Calibri" w:cs="Calibri" w:eastAsia="Calibri" w:hAnsi="Calibri"/>
                <w:color w:val="2B2B3A"/>
                <w:sz w:val="19"/>
                <w:szCs w:val="19"/>
              </w:rPr>
              <w:t xml:space="preserve">)</w:t>
            </w:r>
          </w:p>
        </w:tc>
        <w:tc>
          <w:tcPr>
            <w:tcW w:type="dxa" w:w="35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7A5412"/>
                <w:sz w:val="19"/>
                <w:szCs w:val="19"/>
                <w:shd w:fill="FBEFD3" w:color="auto" w:val="clear"/>
              </w:rPr>
              <w:t xml:space="preserve">[$ amount]</w:t>
            </w:r>
          </w:p>
        </w:tc>
      </w:tr>
      <w:tr>
        <w:tc>
          <w:tcPr>
            <w:tcW w:type="dxa" w:w="580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B2B3A"/>
                <w:sz w:val="19"/>
                <w:szCs w:val="19"/>
              </w:rPr>
              <w:t xml:space="preserve">Profit on changed work at </w:t>
            </w:r>
            <w:r>
              <w:rPr>
                <w:rFonts w:ascii="Calibri" w:cs="Calibri" w:eastAsia="Calibri" w:hAnsi="Calibri"/>
                <w:color w:val="7A5412"/>
                <w:sz w:val="19"/>
                <w:szCs w:val="19"/>
                <w:shd w:fill="FBEFD3" w:color="auto" w:val="clear"/>
              </w:rPr>
              <w:t xml:space="preserve">[X]</w:t>
            </w:r>
            <w:r>
              <w:rPr>
                <w:rFonts w:ascii="Calibri" w:cs="Calibri" w:eastAsia="Calibri" w:hAnsi="Calibri"/>
                <w:color w:val="2B2B3A"/>
                <w:sz w:val="19"/>
                <w:szCs w:val="19"/>
              </w:rPr>
              <w:t xml:space="preserve">%</w:t>
            </w:r>
          </w:p>
        </w:tc>
        <w:tc>
          <w:tcPr>
            <w:tcW w:type="dxa" w:w="35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7A5412"/>
                <w:sz w:val="19"/>
                <w:szCs w:val="19"/>
                <w:shd w:fill="FBEFD3" w:color="auto" w:val="clear"/>
              </w:rPr>
              <w:t xml:space="preserve">[$ amount]</w:t>
            </w:r>
          </w:p>
        </w:tc>
      </w:tr>
      <w:tr>
        <w:tc>
          <w:tcPr>
            <w:tcW w:type="dxa" w:w="580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B2B3A"/>
                <w:sz w:val="19"/>
                <w:szCs w:val="19"/>
              </w:rPr>
              <w:t xml:space="preserve">Bond and insurance premium adjustment</w:t>
            </w:r>
          </w:p>
        </w:tc>
        <w:tc>
          <w:tcPr>
            <w:tcW w:type="dxa" w:w="35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7A5412"/>
                <w:sz w:val="19"/>
                <w:szCs w:val="19"/>
                <w:shd w:fill="FBEFD3" w:color="auto" w:val="clear"/>
              </w:rPr>
              <w:t xml:space="preserve">[$ amount]</w:t>
            </w:r>
          </w:p>
        </w:tc>
      </w:tr>
      <w:tr>
        <w:tc>
          <w:tcPr>
            <w:tcW w:type="dxa" w:w="580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2B2B3A"/>
                <w:sz w:val="19"/>
                <w:szCs w:val="19"/>
              </w:rPr>
              <w:t xml:space="preserve">Total requested adjustment</w:t>
            </w:r>
          </w:p>
        </w:tc>
        <w:tc>
          <w:tcPr>
            <w:tcW w:type="dxa" w:w="355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0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7A5412"/>
                <w:sz w:val="19"/>
                <w:szCs w:val="19"/>
                <w:shd w:fill="FBEFD3" w:color="auto" w:val="clear"/>
              </w:rPr>
              <w:t xml:space="preserve">[$ total]</w:t>
            </w:r>
          </w:p>
        </w:tc>
      </w:tr>
    </w:tbl>
    <w:p>
      <w:pPr>
        <w:spacing w:after="140"/>
      </w:pP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1D0E51"/>
          <w:sz w:val="21"/>
          <w:szCs w:val="21"/>
        </w:rPr>
        <w:t xml:space="preserve">5.  Request</w:t>
      </w:r>
    </w:p>
    <w:p>
      <w:pPr>
        <w:spacing w:after="14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The Contractor requests a bilateral modification adjusting the contract price by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[$ total]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and the contract completion date to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[revised 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. We propose a meeting within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[14]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days of receipt to review this REA and are available at the Government’s convenience. We would appreciate a response by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.</w:t>
      </w:r>
    </w:p>
    <w:p>
      <w:pPr>
        <w:spacing w:after="14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This REA is submitted to resolve the matter by negotiation. The Contractor reserves its rights under the contract, including the right to submit a claim under the Disputes clause if agreement cannot be reached, and to update this request if the effects of the event continue beyond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[date]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.</w:t>
      </w:r>
    </w:p>
    <w:p>
      <w:pPr>
        <w:spacing w:after="14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Please direct questions to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[Name, title]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at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[phone]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 or </w:t>
      </w: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[email]</w:t>
      </w:r>
      <w:r>
        <w:rPr>
          <w:rFonts w:ascii="Calibri" w:cs="Calibri" w:eastAsia="Calibri" w:hAnsi="Calibri"/>
          <w:color w:val="2B2B3A"/>
          <w:sz w:val="21"/>
          <w:szCs w:val="21"/>
        </w:rPr>
        <w:t xml:space="preserve">.</w:t>
      </w:r>
    </w:p>
    <w:p>
      <w:pPr>
        <w:spacing w:after="500" w:line="276"/>
      </w:pPr>
      <w:r>
        <w:rPr>
          <w:rFonts w:ascii="Calibri" w:cs="Calibri" w:eastAsia="Calibri" w:hAnsi="Calibri"/>
          <w:color w:val="2B2B3A"/>
          <w:sz w:val="21"/>
          <w:szCs w:val="21"/>
        </w:rPr>
        <w:t xml:space="preserve">Respectfully,</w:t>
      </w:r>
    </w:p>
    <w:p>
      <w:pPr>
        <w:spacing w:after="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[Signature]</w:t>
      </w:r>
    </w:p>
    <w:p>
      <w:pPr>
        <w:spacing w:after="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[Name]</w:t>
      </w:r>
    </w:p>
    <w:p>
      <w:pPr>
        <w:spacing w:after="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[Title]</w:t>
      </w:r>
    </w:p>
    <w:p>
      <w:pPr>
        <w:spacing w:after="220" w:line="276"/>
      </w:pPr>
      <w:r>
        <w:rPr>
          <w:rFonts w:ascii="Calibri" w:cs="Calibri" w:eastAsia="Calibri" w:hAnsi="Calibri"/>
          <w:color w:val="7A5412"/>
          <w:sz w:val="21"/>
          <w:szCs w:val="21"/>
          <w:shd w:fill="FBEFD3" w:color="auto" w:val="clear"/>
        </w:rPr>
        <w:t xml:space="preserve">[Contractor legal name]</w:t>
      </w:r>
    </w:p>
    <w:p>
      <w:pPr>
        <w:spacing w:after="60" w:line="276"/>
      </w:pPr>
      <w:r>
        <w:rPr>
          <w:rFonts w:ascii="Calibri" w:cs="Calibri" w:eastAsia="Calibri" w:hAnsi="Calibri"/>
          <w:b/>
          <w:bCs/>
          <w:color w:val="2B2B3A"/>
          <w:sz w:val="19"/>
          <w:szCs w:val="19"/>
        </w:rPr>
        <w:t xml:space="preserve">Enclosures:</w:t>
      </w:r>
      <w:r>
        <w:rPr>
          <w:rFonts w:ascii="Calibri" w:cs="Calibri" w:eastAsia="Calibri" w:hAnsi="Calibri"/>
          <w:color w:val="2B2B3A"/>
          <w:sz w:val="19"/>
          <w:szCs w:val="19"/>
        </w:rPr>
        <w:t xml:space="preserve">  1. Chronology and supporting correspondence   2. Time Impact Analysis with native schedule files   3. Cost proposal and backup   </w:t>
      </w:r>
      <w:r>
        <w:rPr>
          <w:rFonts w:ascii="Calibri" w:cs="Calibri" w:eastAsia="Calibri" w:hAnsi="Calibri"/>
          <w:color w:val="7A5412"/>
          <w:sz w:val="19"/>
          <w:szCs w:val="19"/>
          <w:shd w:fill="FBEFD3" w:color="auto" w:val="clear"/>
        </w:rPr>
        <w:t xml:space="preserve">[4. REA certification, where required]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color w:val="2B2B3A"/>
          <w:sz w:val="19"/>
          <w:szCs w:val="19"/>
        </w:rPr>
        <w:t xml:space="preserve">cc:</w:t>
      </w:r>
      <w:r>
        <w:rPr>
          <w:rFonts w:ascii="Calibri" w:cs="Calibri" w:eastAsia="Calibri" w:hAnsi="Calibri"/>
          <w:color w:val="2B2B3A"/>
          <w:sz w:val="19"/>
          <w:szCs w:val="19"/>
        </w:rPr>
        <w:t xml:space="preserve">  </w:t>
      </w:r>
      <w:r>
        <w:rPr>
          <w:rFonts w:ascii="Calibri" w:cs="Calibri" w:eastAsia="Calibri" w:hAnsi="Calibri"/>
          <w:color w:val="7A5412"/>
          <w:sz w:val="19"/>
          <w:szCs w:val="19"/>
          <w:shd w:fill="FBEFD3" w:color="auto" w:val="clear"/>
        </w:rPr>
        <w:t xml:space="preserve">[Contracting Officer’s Representative]</w:t>
      </w:r>
      <w:r>
        <w:rPr>
          <w:rFonts w:ascii="Calibri" w:cs="Calibri" w:eastAsia="Calibri" w:hAnsi="Calibri"/>
          <w:color w:val="2B2B3A"/>
          <w:sz w:val="19"/>
          <w:szCs w:val="19"/>
        </w:rPr>
        <w:t xml:space="preserve">; </w:t>
      </w:r>
      <w:r>
        <w:rPr>
          <w:rFonts w:ascii="Calibri" w:cs="Calibri" w:eastAsia="Calibri" w:hAnsi="Calibri"/>
          <w:color w:val="7A5412"/>
          <w:sz w:val="19"/>
          <w:szCs w:val="19"/>
          <w:shd w:fill="FBEFD3" w:color="auto" w:val="clear"/>
        </w:rPr>
        <w:t xml:space="preserve">[Contractor project manager]</w:t>
      </w:r>
      <w:r>
        <w:rPr>
          <w:rFonts w:ascii="Calibri" w:cs="Calibri" w:eastAsia="Calibri" w:hAnsi="Calibri"/>
          <w:color w:val="2B2B3A"/>
          <w:sz w:val="19"/>
          <w:szCs w:val="19"/>
        </w:rPr>
        <w:t xml:space="preserve">; </w:t>
      </w:r>
      <w:r>
        <w:rPr>
          <w:rFonts w:ascii="Calibri" w:cs="Calibri" w:eastAsia="Calibri" w:hAnsi="Calibri"/>
          <w:color w:val="7A5412"/>
          <w:sz w:val="19"/>
          <w:szCs w:val="19"/>
          <w:shd w:fill="FBEFD3" w:color="auto" w:val="clear"/>
        </w:rPr>
        <w:t xml:space="preserve">[file]</w:t>
      </w:r>
    </w:p>
    <w:p>
      <w:r>
        <w:br w:type="page"/>
      </w:r>
    </w:p>
    <w:p>
      <w:pPr>
        <w:spacing w:after="80"/>
      </w:pPr>
      <w:r>
        <w:rPr>
          <w:rFonts w:ascii="Poppins" w:cs="Poppins" w:eastAsia="Poppins" w:hAnsi="Poppins"/>
          <w:b/>
          <w:bCs/>
          <w:color w:val="1D0E51"/>
          <w:sz w:val="30"/>
          <w:szCs w:val="30"/>
        </w:rPr>
        <w:t xml:space="preserve">How to Complete This Template</w:t>
      </w:r>
    </w:p>
    <w:p>
      <w:pPr>
        <w:pBdr>
          <w:bottom w:val="single" w:color="A87B22" w:sz="8" w:space="4"/>
        </w:pBdr>
        <w:spacing w:after="200"/>
      </w:pPr>
      <w:r>
        <w:rPr>
          <w:rFonts w:ascii="Poppins" w:cs="Poppins" w:eastAsia="Poppins" w:hAnsi="Poppins"/>
          <w:color w:val="5A5A6E"/>
          <w:sz w:val="19"/>
          <w:szCs w:val="19"/>
        </w:rPr>
        <w:t xml:space="preserve">Guidance notes from Chapter 18. Delete this page before sending.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060"/>
      </w:tblGrid>
      <w:tr>
        <w:trPr>
          <w:cantSplit/>
          <w:tblHeader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0E5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Poppins" w:cs="Poppins" w:eastAsia="Poppins" w:hAnsi="Poppins"/>
                <w:b/>
                <w:bCs/>
                <w:color w:val="FFFFFF"/>
                <w:sz w:val="17"/>
                <w:szCs w:val="17"/>
              </w:rPr>
              <w:t xml:space="preserve">Section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0E5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Poppins" w:cs="Poppins" w:eastAsia="Poppins" w:hAnsi="Poppins"/>
                <w:b/>
                <w:bCs/>
                <w:color w:val="FFFFFF"/>
                <w:sz w:val="17"/>
                <w:szCs w:val="17"/>
              </w:rPr>
              <w:t xml:space="preserve">Guidance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D0E51"/>
                <w:sz w:val="18"/>
                <w:szCs w:val="18"/>
              </w:rPr>
              <w:t xml:space="preserve">Subject line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2B2B3A"/>
                <w:sz w:val="18"/>
                <w:szCs w:val="18"/>
              </w:rPr>
              <w:t xml:space="preserve">Number each REA and give it a short, neutral title. Use the same number on every related document.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EEEB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D0E51"/>
                <w:sz w:val="18"/>
                <w:szCs w:val="18"/>
              </w:rPr>
              <w:t xml:space="preserve">References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EEEB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2B2B3A"/>
                <w:sz w:val="18"/>
                <w:szCs w:val="18"/>
              </w:rPr>
              <w:t xml:space="preserve">List the notice, directions and RFIs that establish the event and notice compliance. Reviewers check these first.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D0E51"/>
                <w:sz w:val="18"/>
                <w:szCs w:val="18"/>
              </w:rPr>
              <w:t xml:space="preserve">Opening paragraph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2B2B3A"/>
                <w:sz w:val="18"/>
                <w:szCs w:val="18"/>
              </w:rPr>
              <w:t xml:space="preserve">State the time and money requested in the first paragraph. The reader should know the ask immediately.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EEEB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D0E51"/>
                <w:sz w:val="18"/>
                <w:szCs w:val="18"/>
              </w:rPr>
              <w:t xml:space="preserve">Contractual basis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EEEB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2B2B3A"/>
                <w:sz w:val="18"/>
                <w:szCs w:val="18"/>
              </w:rPr>
              <w:t xml:space="preserve">Name the clause and the notice date. Keep entitlement to one sentence here; the detail belongs in the enclosures.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D0E51"/>
                <w:sz w:val="18"/>
                <w:szCs w:val="18"/>
              </w:rPr>
              <w:t xml:space="preserve">Time impact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2B2B3A"/>
                <w:sz w:val="18"/>
                <w:szCs w:val="18"/>
              </w:rPr>
              <w:t xml:space="preserve">Quote the unimpacted and impacted dates from the TIA. Measure from the unimpacted forecast, never from the contract date (Chapter 14).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EEEB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D0E51"/>
                <w:sz w:val="18"/>
                <w:szCs w:val="18"/>
              </w:rPr>
              <w:t xml:space="preserve">Price adjustment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EEEB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2B2B3A"/>
                <w:sz w:val="18"/>
                <w:szCs w:val="18"/>
              </w:rPr>
              <w:t xml:space="preserve">Totals only in the letter; the cost proposal carries the build-up. Separate time-related costs from direct costs.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D0E51"/>
                <w:sz w:val="18"/>
                <w:szCs w:val="18"/>
              </w:rPr>
              <w:t xml:space="preserve">Request and tone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2B2B3A"/>
                <w:sz w:val="18"/>
                <w:szCs w:val="18"/>
              </w:rPr>
              <w:t xml:space="preserve">Ask for a bilateral modification and a meeting. Keep the tone factual and cooperative: an REA is a negotiation document.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EEEB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D0E51"/>
                <w:sz w:val="18"/>
                <w:szCs w:val="18"/>
              </w:rPr>
              <w:t xml:space="preserve">REA or claim?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EEEB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2B2B3A"/>
                <w:sz w:val="18"/>
                <w:szCs w:val="18"/>
              </w:rPr>
              <w:t xml:space="preserve">Do not ask for a Contracting Officer’s final decision unless you intend to submit a claim under the Contract Disputes Act. A written demand for a final decision can turn the document into a claim, with certification and other consequences (Chapter 18).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D0E51"/>
                <w:sz w:val="18"/>
                <w:szCs w:val="18"/>
              </w:rPr>
              <w:t xml:space="preserve">Certification</w:t>
            </w:r>
          </w:p>
        </w:tc>
        <w:tc>
          <w:tcPr>
            <w:tcW w:type="dxa" w:w="7060"/>
            <w:tcBorders>
              <w:top w:val="none" w:color="FFFFFF" w:sz="0"/>
              <w:left w:val="none" w:color="FFFFFF" w:sz="0"/>
              <w:bottom w:val="single" w:color="D9D4E8" w:sz="4"/>
              <w:right w:val="none" w:color="FFFFFF" w:sz="0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2B2B3A"/>
                <w:sz w:val="18"/>
                <w:szCs w:val="18"/>
              </w:rPr>
              <w:t xml:space="preserve">Certify only where required by the contract or agency supplement. A CDA claim above $100,000 needs the separate claim certification in FAR 33.207.</w:t>
            </w:r>
          </w:p>
        </w:tc>
      </w:tr>
    </w:tbl>
    <w:p>
      <w:pPr>
        <w:spacing w:after="100" w:before="200"/>
      </w:pPr>
    </w:p>
    <w:p>
      <w:pPr>
        <w:spacing w:after="140" w:line="276"/>
      </w:pPr>
      <w:r>
        <w:rPr>
          <w:rFonts w:ascii="Calibri" w:cs="Calibri" w:eastAsia="Calibri" w:hAnsi="Calibri"/>
          <w:b/>
          <w:bCs/>
          <w:color w:val="2B2B3A"/>
          <w:sz w:val="19"/>
          <w:szCs w:val="19"/>
        </w:rPr>
        <w:t xml:space="preserve">Optional certification (only where required, e.g. DFARS 252.243-7002 for DoD contracts exceeding the simplified acquisition threshold):</w:t>
      </w:r>
    </w:p>
    <w:p>
      <w:pPr>
        <w:spacing w:after="140" w:line="276"/>
        <w:ind w:left="360"/>
      </w:pPr>
      <w:r>
        <w:rPr>
          <w:rFonts w:ascii="Calibri" w:cs="Calibri" w:eastAsia="Calibri" w:hAnsi="Calibri"/>
          <w:color w:val="2B2B3A"/>
          <w:sz w:val="19"/>
          <w:szCs w:val="19"/>
        </w:rPr>
        <w:t xml:space="preserve">“I certify that the request is made in good faith, and that the supporting data are accurate and complete to the best of my knowledge and belief.”   </w:t>
      </w:r>
      <w:r>
        <w:rPr>
          <w:rFonts w:ascii="Calibri" w:cs="Calibri" w:eastAsia="Calibri" w:hAnsi="Calibri"/>
          <w:color w:val="7A5412"/>
          <w:sz w:val="19"/>
          <w:szCs w:val="19"/>
          <w:shd w:fill="FBEFD3" w:color="auto" w:val="clear"/>
        </w:rPr>
        <w:t xml:space="preserve">[Name, Title, Signature, Date]</w:t>
      </w:r>
    </w:p>
    <w:p>
      <w:pPr>
        <w:spacing w:before="200"/>
      </w:pPr>
      <w:r>
        <w:rPr>
          <w:rFonts w:ascii="Calibri" w:cs="Calibri" w:eastAsia="Calibri" w:hAnsi="Calibri"/>
          <w:i/>
          <w:iCs/>
          <w:color w:val="5A5A6E"/>
          <w:sz w:val="17"/>
          <w:szCs w:val="17"/>
        </w:rPr>
        <w:t xml:space="preserve">This template is general guidance, not legal advice. Confirm clause numbers, notice periods and certification requirements against your contract and agency supplement.</w:t>
      </w:r>
    </w:p>
    <w:sectPr>
      <w:headerReference w:type="default" r:id="rId7"/>
      <w:footerReference w:type="default" r:id="rId8"/>
      <w:pgSz w:w="12240" w:h="15840" w:orient="portrait"/>
      <w:pgMar w:top="1200" w:right="1440" w:bottom="11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Poppins" w:cs="Poppins" w:eastAsia="Poppins" w:hAnsi="Poppins"/>
        <w:color w:val="5A5A6E"/>
        <w:sz w:val="13"/>
        <w:szCs w:val="13"/>
      </w:rPr>
      <w:t xml:space="preserve">Template © 2026 P6 Project Controls. Licensed for use by the purchaser. Replace all highlighted [fields] before sending.</w:t>
    </w:r>
    <w:r>
      <w:rPr>
        <w:rFonts w:ascii="Poppins" w:cs="Poppins" w:eastAsia="Poppins" w:hAnsi="Poppins"/>
        <w:color w:val="1D0E51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87B22" w:sz="6" w:space="4"/>
      </w:pBdr>
      <w:tabs>
        <w:tab w:val="right" w:pos="9360"/>
      </w:tabs>
    </w:pPr>
    <w:r>
      <w:rPr>
        <w:rFonts w:ascii="Poppins" w:cs="Poppins" w:eastAsia="Poppins" w:hAnsi="Poppins"/>
        <w:b/>
        <w:bCs/>
        <w:color w:val="1D0E51"/>
        <w:spacing w:val="15"/>
        <w:sz w:val="14"/>
        <w:szCs w:val="14"/>
      </w:rPr>
      <w:t xml:space="preserve">TEMPLATE  |  REQUEST FOR EQUITABLE ADJUSTMENT COVER LETTER</w:t>
    </w:r>
    <w:r>
      <w:rPr>
        <w:rFonts w:ascii="Poppins" w:cs="Poppins" w:eastAsia="Poppins" w:hAnsi="Poppins"/>
        <w:color w:val="5A5A6E"/>
        <w:sz w:val="14"/>
        <w:szCs w:val="14"/>
      </w:rPr>
      <w:t xml:space="preserve">	Smart EOT &amp; Delay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500" w:hanging="280"/>
      </w:pPr>
      <w:rPr>
        <w:color w:val="A87B22"/>
        <w:sz w:val="13"/>
        <w:szCs w:val="13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420" w:hanging="280"/>
      </w:pPr>
      <w:rPr>
        <w:color w:val="F7CD83"/>
        <w:sz w:val="18"/>
        <w:szCs w:val="18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3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4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4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4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abstractNum w:abstractNumId="4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A87B2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60" w:line="540" w:lineRule="exact"/>
      <w:outlineLvl w:val="0"/>
    </w:pPr>
    <w:rPr>
      <w:rFonts w:ascii="Poppins" w:cs="Poppins" w:eastAsia="Poppins" w:hAnsi="Poppins"/>
      <w:b/>
      <w:bCs/>
      <w:color w:val="1D0E51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Poppins" w:cs="Poppins" w:eastAsia="Poppins" w:hAnsi="Poppins"/>
      <w:b/>
      <w:bCs/>
      <w:color w:val="1D0E5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 Cover Letter Template</dc:title>
  <dc:creator>P6 Project Controls</dc:creator>
  <cp:lastModifiedBy>Un-named</cp:lastModifiedBy>
  <cp:revision>1</cp:revision>
  <dcterms:created xsi:type="dcterms:W3CDTF">2026-09-28T17:35:30.732Z</dcterms:created>
  <dcterms:modified xsi:type="dcterms:W3CDTF">2026-09-28T17:35:30.732Z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